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4C" w:rsidRDefault="00061C4C" w:rsidP="003871A3">
      <w:pPr>
        <w:pStyle w:val="OasysWin"/>
        <w:spacing w:line="240" w:lineRule="auto"/>
        <w:rPr>
          <w:spacing w:val="0"/>
        </w:rPr>
      </w:pPr>
      <w:r>
        <w:rPr>
          <w:rFonts w:hint="eastAsia"/>
        </w:rPr>
        <w:t xml:space="preserve">　　　　　　　　　　　　大統領行政命令</w:t>
      </w:r>
      <w:bookmarkStart w:id="0" w:name="_GoBack"/>
      <w:r>
        <w:rPr>
          <w:rFonts w:hint="eastAsia"/>
        </w:rPr>
        <w:t>第</w:t>
      </w:r>
      <w:r>
        <w:t>12901</w:t>
      </w:r>
      <w:r>
        <w:rPr>
          <w:rFonts w:hint="eastAsia"/>
        </w:rPr>
        <w:t>号</w:t>
      </w:r>
      <w:bookmarkEnd w:id="0"/>
    </w:p>
    <w:p w:rsidR="00061C4C" w:rsidRDefault="00061C4C" w:rsidP="003871A3">
      <w:pPr>
        <w:pStyle w:val="OasysWin"/>
        <w:spacing w:line="240" w:lineRule="auto"/>
        <w:rPr>
          <w:spacing w:val="0"/>
        </w:rPr>
      </w:pPr>
      <w:r>
        <w:rPr>
          <w:rFonts w:hint="eastAsia"/>
        </w:rPr>
        <w:t xml:space="preserve">　　　　　　　　　</w:t>
      </w:r>
      <w:r>
        <w:t>1994</w:t>
      </w:r>
      <w:r>
        <w:rPr>
          <w:rFonts w:hint="eastAsia"/>
        </w:rPr>
        <w:t>年３月３日</w:t>
      </w:r>
      <w:r>
        <w:rPr>
          <w:spacing w:val="-6"/>
        </w:rPr>
        <w:t xml:space="preserve">  </w:t>
      </w:r>
      <w:r>
        <w:rPr>
          <w:rFonts w:hint="eastAsia"/>
        </w:rPr>
        <w:t>連邦官報第</w:t>
      </w:r>
      <w:r>
        <w:t>59</w:t>
      </w:r>
      <w:r>
        <w:rPr>
          <w:rFonts w:hint="eastAsia"/>
        </w:rPr>
        <w:t>巻第</w:t>
      </w:r>
      <w:r>
        <w:t>10727</w:t>
      </w:r>
      <w:r>
        <w:rPr>
          <w:rFonts w:hint="eastAsia"/>
        </w:rPr>
        <w:t>ページ</w:t>
      </w:r>
    </w:p>
    <w:p w:rsidR="00061C4C" w:rsidRDefault="00061C4C" w:rsidP="003871A3">
      <w:pPr>
        <w:pStyle w:val="OasysWin"/>
        <w:spacing w:line="240" w:lineRule="auto"/>
        <w:rPr>
          <w:spacing w:val="0"/>
        </w:rPr>
      </w:pPr>
      <w:r>
        <w:rPr>
          <w:rFonts w:hint="eastAsia"/>
        </w:rPr>
        <w:t>改正</w:t>
      </w:r>
      <w:r>
        <w:rPr>
          <w:spacing w:val="-6"/>
        </w:rPr>
        <w:t xml:space="preserve">  </w:t>
      </w:r>
      <w:r>
        <w:rPr>
          <w:rFonts w:hint="eastAsia"/>
        </w:rPr>
        <w:t>大統領行政命令第</w:t>
      </w:r>
      <w:r>
        <w:t>12973</w:t>
      </w:r>
      <w:r>
        <w:rPr>
          <w:rFonts w:hint="eastAsia"/>
        </w:rPr>
        <w:t>号</w:t>
      </w:r>
      <w:r>
        <w:rPr>
          <w:spacing w:val="-6"/>
        </w:rPr>
        <w:t xml:space="preserve"> </w:t>
      </w:r>
      <w:r>
        <w:t>(1995</w:t>
      </w:r>
      <w:r>
        <w:rPr>
          <w:rFonts w:hint="eastAsia"/>
        </w:rPr>
        <w:t>年</w:t>
      </w:r>
      <w:r>
        <w:t>11</w:t>
      </w:r>
      <w:r>
        <w:rPr>
          <w:rFonts w:hint="eastAsia"/>
        </w:rPr>
        <w:t>月</w:t>
      </w:r>
      <w:r>
        <w:t>27</w:t>
      </w:r>
      <w:r>
        <w:rPr>
          <w:rFonts w:hint="eastAsia"/>
        </w:rPr>
        <w:t>日</w:t>
      </w:r>
      <w:r>
        <w:rPr>
          <w:spacing w:val="-6"/>
        </w:rPr>
        <w:t xml:space="preserve">  </w:t>
      </w:r>
      <w:r>
        <w:rPr>
          <w:rFonts w:hint="eastAsia"/>
        </w:rPr>
        <w:t>連邦官報第</w:t>
      </w:r>
      <w:r>
        <w:t>60</w:t>
      </w:r>
      <w:r>
        <w:rPr>
          <w:rFonts w:hint="eastAsia"/>
        </w:rPr>
        <w:t>巻第</w:t>
      </w:r>
      <w:r>
        <w:t>51665</w:t>
      </w:r>
      <w:r>
        <w:rPr>
          <w:rFonts w:hint="eastAsia"/>
        </w:rPr>
        <w:t>ページ</w:t>
      </w:r>
      <w:r>
        <w:t>)</w:t>
      </w:r>
      <w:r>
        <w:rPr>
          <w:spacing w:val="-6"/>
        </w:rPr>
        <w:t xml:space="preserve"> </w:t>
      </w:r>
    </w:p>
    <w:p w:rsidR="00061C4C" w:rsidRDefault="00061C4C" w:rsidP="003871A3">
      <w:pPr>
        <w:pStyle w:val="OasysWin"/>
        <w:spacing w:line="240" w:lineRule="auto"/>
        <w:rPr>
          <w:spacing w:val="0"/>
        </w:rPr>
      </w:pPr>
    </w:p>
    <w:p w:rsidR="00061C4C" w:rsidRDefault="00061C4C" w:rsidP="003871A3">
      <w:pPr>
        <w:pStyle w:val="OasysWin"/>
        <w:spacing w:line="240" w:lineRule="auto"/>
        <w:rPr>
          <w:spacing w:val="0"/>
        </w:rPr>
      </w:pPr>
      <w:r>
        <w:rPr>
          <w:rFonts w:hint="eastAsia"/>
        </w:rPr>
        <w:t xml:space="preserve">　　　　　　　　　</w:t>
      </w:r>
      <w:r>
        <w:rPr>
          <w:spacing w:val="0"/>
          <w:sz w:val="21"/>
          <w:szCs w:val="21"/>
        </w:rPr>
        <w:fldChar w:fldCharType="begin"/>
      </w:r>
      <w:r>
        <w:rPr>
          <w:spacing w:val="0"/>
          <w:sz w:val="21"/>
          <w:szCs w:val="21"/>
        </w:rPr>
        <w:instrText xml:space="preserve"> eq \o\ad(</w:instrText>
      </w:r>
      <w:r>
        <w:rPr>
          <w:rFonts w:hint="eastAsia"/>
          <w:spacing w:val="0"/>
        </w:rPr>
        <w:instrText>貿易拡大利益の特定</w:instrText>
      </w:r>
      <w:r>
        <w:rPr>
          <w:spacing w:val="0"/>
          <w:sz w:val="21"/>
          <w:szCs w:val="21"/>
        </w:rPr>
        <w:instrText>,</w:instrText>
      </w:r>
      <w:r>
        <w:rPr>
          <w:rFonts w:hint="eastAsia"/>
          <w:spacing w:val="0"/>
          <w:sz w:val="20"/>
          <w:szCs w:val="20"/>
        </w:rPr>
        <w:instrText xml:space="preserve">　　　　　　　　　　　　　　　　　</w:instrText>
      </w:r>
      <w:r>
        <w:rPr>
          <w:spacing w:val="0"/>
          <w:sz w:val="21"/>
          <w:szCs w:val="21"/>
        </w:rPr>
        <w:instrText>)</w:instrText>
      </w:r>
      <w:r>
        <w:rPr>
          <w:spacing w:val="0"/>
          <w:sz w:val="21"/>
          <w:szCs w:val="21"/>
        </w:rPr>
        <w:fldChar w:fldCharType="end"/>
      </w:r>
    </w:p>
    <w:p w:rsidR="00061C4C" w:rsidRDefault="00061C4C" w:rsidP="003871A3">
      <w:pPr>
        <w:pStyle w:val="OasysWin"/>
        <w:spacing w:line="240" w:lineRule="auto"/>
        <w:rPr>
          <w:spacing w:val="0"/>
        </w:rPr>
      </w:pPr>
    </w:p>
    <w:p w:rsidR="00061C4C" w:rsidRDefault="00061C4C" w:rsidP="003871A3">
      <w:pPr>
        <w:pStyle w:val="OasysWin"/>
        <w:spacing w:line="240" w:lineRule="auto"/>
        <w:ind w:firstLineChars="100" w:firstLine="214"/>
        <w:rPr>
          <w:spacing w:val="0"/>
        </w:rPr>
      </w:pPr>
      <w:r>
        <w:rPr>
          <w:rFonts w:hint="eastAsia"/>
        </w:rPr>
        <w:t>アメリカ合衆国憲法並びに</w:t>
      </w:r>
      <w:r>
        <w:t>1974</w:t>
      </w:r>
      <w:r>
        <w:rPr>
          <w:rFonts w:hint="eastAsia"/>
        </w:rPr>
        <w:t>年通商法（以下「法」という。）第</w:t>
      </w:r>
      <w:r>
        <w:t>141</w:t>
      </w:r>
      <w:r>
        <w:rPr>
          <w:rFonts w:hint="eastAsia"/>
        </w:rPr>
        <w:t>条及び第</w:t>
      </w:r>
      <w:r>
        <w:t>301</w:t>
      </w:r>
      <w:r>
        <w:rPr>
          <w:rFonts w:hint="eastAsia"/>
        </w:rPr>
        <w:t>条から第</w:t>
      </w:r>
      <w:r>
        <w:t>310</w:t>
      </w:r>
      <w:r>
        <w:rPr>
          <w:rFonts w:hint="eastAsia"/>
        </w:rPr>
        <w:t>条まで、並びに合衆国法典第３編第</w:t>
      </w:r>
      <w:r>
        <w:t>301</w:t>
      </w:r>
      <w:r>
        <w:rPr>
          <w:rFonts w:hint="eastAsia"/>
        </w:rPr>
        <w:t>条を含む法律によって大統領に付与された権限により、合衆国の通商政策が合衆国の財・サービスの輸出を最大限促進し、通商政策の手段を効果的に利用することを確保するために、ここに次のように命令する。</w:t>
      </w:r>
    </w:p>
    <w:p w:rsidR="00061C4C" w:rsidRDefault="00061C4C" w:rsidP="003871A3">
      <w:pPr>
        <w:pStyle w:val="OasysWin"/>
        <w:spacing w:line="240" w:lineRule="auto"/>
        <w:rPr>
          <w:spacing w:val="0"/>
        </w:rPr>
      </w:pPr>
    </w:p>
    <w:p w:rsidR="00061C4C" w:rsidRDefault="00061C4C" w:rsidP="003871A3">
      <w:pPr>
        <w:pStyle w:val="OasysWin"/>
        <w:spacing w:line="240" w:lineRule="auto"/>
        <w:rPr>
          <w:spacing w:val="0"/>
        </w:rPr>
      </w:pPr>
      <w:r>
        <w:rPr>
          <w:rFonts w:eastAsia=" ＭＳ ゴシック" w:cs=" ＭＳ ゴシック" w:hint="eastAsia"/>
        </w:rPr>
        <w:t>第１条　特定</w:t>
      </w:r>
    </w:p>
    <w:p w:rsidR="00061C4C" w:rsidRDefault="003871A3" w:rsidP="003871A3">
      <w:pPr>
        <w:pStyle w:val="OasysWin"/>
        <w:spacing w:line="240" w:lineRule="auto"/>
        <w:ind w:left="214" w:hangingChars="100" w:hanging="214"/>
        <w:rPr>
          <w:spacing w:val="0"/>
        </w:rPr>
      </w:pPr>
      <w:r>
        <w:rPr>
          <w:rFonts w:hint="eastAsia"/>
        </w:rPr>
        <w:t>⒜</w:t>
      </w:r>
      <w:r w:rsidR="00061C4C">
        <w:rPr>
          <w:rFonts w:hint="eastAsia"/>
        </w:rPr>
        <w:t xml:space="preserve">　</w:t>
      </w:r>
      <w:r w:rsidR="00061C4C">
        <w:t>1996</w:t>
      </w:r>
      <w:r w:rsidR="00061C4C">
        <w:rPr>
          <w:rFonts w:hint="eastAsia"/>
        </w:rPr>
        <w:t>年及び</w:t>
      </w:r>
      <w:r w:rsidR="00061C4C">
        <w:t>1997</w:t>
      </w:r>
      <w:r w:rsidR="00061C4C">
        <w:rPr>
          <w:rFonts w:hint="eastAsia"/>
        </w:rPr>
        <w:t>年</w:t>
      </w:r>
      <w:r>
        <w:rPr>
          <w:rStyle w:val="a9"/>
        </w:rPr>
        <w:footnoteReference w:id="1"/>
      </w:r>
      <w:r w:rsidR="00061C4C">
        <w:rPr>
          <w:rFonts w:hint="eastAsia"/>
        </w:rPr>
        <w:t>の（法第</w:t>
      </w:r>
      <w:r w:rsidR="00061C4C">
        <w:t>181</w:t>
      </w:r>
      <w:r w:rsidR="00061C4C">
        <w:rPr>
          <w:rFonts w:hint="eastAsia"/>
        </w:rPr>
        <w:t>条</w:t>
      </w:r>
      <w:r>
        <w:rPr>
          <w:rFonts w:hint="eastAsia"/>
        </w:rPr>
        <w:t>⒝</w:t>
      </w:r>
      <w:r w:rsidR="00061C4C">
        <w:rPr>
          <w:rFonts w:hint="eastAsia"/>
        </w:rPr>
        <w:t>により要求される）貿易障壁に係る年次報告書が提出されてから６ケ月以内に、合衆国通商代表（以下「通商代表」という。）は、合衆国の貿易拡大優先事項を再検討しなければならず、その除去により直接的にまたは有益な先例の設定を通じて、合衆国の輸出増加を引き起こす可能性が最も高いと思われる外国の優先慣行を特定しなければならない。通商代表は、特定された外国の優先慣行に関する報告書を上院財政委員会及び下院歳入委員会に提出し、これを連邦官報に公示しなければならない。</w:t>
      </w:r>
    </w:p>
    <w:p w:rsidR="00061C4C" w:rsidRDefault="003871A3" w:rsidP="003871A3">
      <w:pPr>
        <w:pStyle w:val="OasysWin"/>
        <w:spacing w:line="240" w:lineRule="auto"/>
        <w:ind w:left="214" w:hangingChars="100" w:hanging="214"/>
        <w:rPr>
          <w:spacing w:val="0"/>
        </w:rPr>
      </w:pPr>
      <w:r>
        <w:rPr>
          <w:rFonts w:hint="eastAsia"/>
        </w:rPr>
        <w:t>⒝</w:t>
      </w:r>
      <w:r w:rsidR="00061C4C">
        <w:rPr>
          <w:rFonts w:hint="eastAsia"/>
        </w:rPr>
        <w:t xml:space="preserve">　</w:t>
      </w:r>
      <w:r>
        <w:rPr>
          <w:rFonts w:hint="eastAsia"/>
        </w:rPr>
        <w:t>⒜</w:t>
      </w:r>
      <w:r w:rsidR="00061C4C">
        <w:rPr>
          <w:rFonts w:hint="eastAsia"/>
        </w:rPr>
        <w:t>の外国の優先慣行を特定するにあたって、通商代表は、次の事項を含むすべての関連する要因を考慮しなければならない。</w:t>
      </w:r>
    </w:p>
    <w:p w:rsidR="00061C4C" w:rsidRPr="003871A3" w:rsidRDefault="003871A3" w:rsidP="003871A3">
      <w:pPr>
        <w:pStyle w:val="OasysWin"/>
        <w:spacing w:line="240" w:lineRule="auto"/>
        <w:ind w:leftChars="100" w:left="424" w:hangingChars="100" w:hanging="214"/>
      </w:pPr>
      <w:r>
        <w:rPr>
          <w:rFonts w:hint="eastAsia"/>
        </w:rPr>
        <w:t>⑴</w:t>
      </w:r>
      <w:r w:rsidR="00061C4C">
        <w:rPr>
          <w:rFonts w:hint="eastAsia"/>
        </w:rPr>
        <w:t xml:space="preserve">　貿易障壁に係る年次報告書に記載された主要な障壁及び通商歪曲慣行</w:t>
      </w:r>
    </w:p>
    <w:p w:rsidR="00061C4C" w:rsidRPr="003871A3" w:rsidRDefault="003871A3" w:rsidP="003871A3">
      <w:pPr>
        <w:pStyle w:val="OasysWin"/>
        <w:spacing w:line="240" w:lineRule="auto"/>
        <w:ind w:leftChars="100" w:left="424" w:hangingChars="100" w:hanging="214"/>
      </w:pPr>
      <w:r>
        <w:rPr>
          <w:rFonts w:hint="eastAsia"/>
        </w:rPr>
        <w:t>⑵</w:t>
      </w:r>
      <w:r w:rsidR="00061C4C">
        <w:rPr>
          <w:rFonts w:hint="eastAsia"/>
        </w:rPr>
        <w:t xml:space="preserve">　ある外国が締約国である通商協定及びその国の協定遵守状況</w:t>
      </w:r>
    </w:p>
    <w:p w:rsidR="00061C4C" w:rsidRPr="003871A3" w:rsidRDefault="003871A3" w:rsidP="003871A3">
      <w:pPr>
        <w:pStyle w:val="OasysWin"/>
        <w:spacing w:line="240" w:lineRule="auto"/>
        <w:ind w:leftChars="100" w:left="424" w:hangingChars="100" w:hanging="214"/>
      </w:pPr>
      <w:r>
        <w:rPr>
          <w:rFonts w:hint="eastAsia"/>
        </w:rPr>
        <w:t>⑶</w:t>
      </w:r>
      <w:r w:rsidR="00061C4C">
        <w:rPr>
          <w:rFonts w:hint="eastAsia"/>
        </w:rPr>
        <w:t xml:space="preserve">　外国の政府調達計画の中長期的意義</w:t>
      </w:r>
    </w:p>
    <w:p w:rsidR="00061C4C" w:rsidRDefault="003871A3" w:rsidP="003871A3">
      <w:pPr>
        <w:pStyle w:val="OasysWin"/>
        <w:spacing w:line="240" w:lineRule="auto"/>
        <w:ind w:leftChars="100" w:left="424" w:hangingChars="100" w:hanging="214"/>
        <w:rPr>
          <w:spacing w:val="0"/>
        </w:rPr>
      </w:pPr>
      <w:r>
        <w:rPr>
          <w:rFonts w:hint="eastAsia"/>
        </w:rPr>
        <w:t>⑷</w:t>
      </w:r>
      <w:r w:rsidR="00061C4C">
        <w:rPr>
          <w:rFonts w:hint="eastAsia"/>
        </w:rPr>
        <w:t xml:space="preserve">　合衆国の財・サービスの国際競争力の位置付け及び輸出潜在力</w:t>
      </w:r>
    </w:p>
    <w:p w:rsidR="00061C4C" w:rsidRDefault="003871A3" w:rsidP="003871A3">
      <w:pPr>
        <w:pStyle w:val="OasysWin"/>
        <w:spacing w:line="240" w:lineRule="auto"/>
        <w:ind w:left="214" w:hangingChars="100" w:hanging="214"/>
        <w:rPr>
          <w:spacing w:val="0"/>
        </w:rPr>
      </w:pPr>
      <w:r>
        <w:rPr>
          <w:rFonts w:hint="eastAsia"/>
        </w:rPr>
        <w:t>⒞</w:t>
      </w:r>
      <w:r w:rsidR="00061C4C">
        <w:rPr>
          <w:rFonts w:hint="eastAsia"/>
        </w:rPr>
        <w:t xml:space="preserve">　通商代表は、適当な場合には、同報告書の中に、将来外国の優先慣行に特定されるであろう外国の慣行の記述を含めることができる。かつ、通商代表は、合衆国通商法の規定、既存の二国間通商協定又は他国と貿易交渉の中で、取り扱われ、それらの除去に向かって進展しつつあるため、特定されなかったその他の外国の慣行に関する記述を含めることができる。</w:t>
      </w:r>
    </w:p>
    <w:p w:rsidR="00061C4C" w:rsidRDefault="00061C4C" w:rsidP="003871A3">
      <w:pPr>
        <w:pStyle w:val="OasysWin"/>
        <w:spacing w:line="240" w:lineRule="auto"/>
        <w:rPr>
          <w:spacing w:val="0"/>
        </w:rPr>
      </w:pPr>
    </w:p>
    <w:p w:rsidR="00061C4C" w:rsidRDefault="00061C4C" w:rsidP="003871A3">
      <w:pPr>
        <w:pStyle w:val="OasysWin"/>
        <w:spacing w:line="240" w:lineRule="auto"/>
        <w:rPr>
          <w:spacing w:val="0"/>
        </w:rPr>
      </w:pPr>
      <w:r>
        <w:rPr>
          <w:rFonts w:eastAsia=" ＭＳ ゴシック" w:cs=" ＭＳ ゴシック" w:hint="eastAsia"/>
        </w:rPr>
        <w:t>第２条　調査開始</w:t>
      </w:r>
    </w:p>
    <w:p w:rsidR="00061C4C" w:rsidRDefault="00061C4C" w:rsidP="003871A3">
      <w:pPr>
        <w:pStyle w:val="OasysWin"/>
        <w:spacing w:line="240" w:lineRule="auto"/>
        <w:rPr>
          <w:spacing w:val="0"/>
        </w:rPr>
      </w:pPr>
      <w:r>
        <w:rPr>
          <w:rFonts w:hint="eastAsia"/>
        </w:rPr>
        <w:t xml:space="preserve">　第１条</w:t>
      </w:r>
      <w:r w:rsidR="003871A3">
        <w:rPr>
          <w:rFonts w:hint="eastAsia"/>
        </w:rPr>
        <w:t>⒜</w:t>
      </w:r>
      <w:r>
        <w:rPr>
          <w:rFonts w:hint="eastAsia"/>
        </w:rPr>
        <w:t>により要求される報告書の提出から</w:t>
      </w:r>
      <w:r>
        <w:t>21</w:t>
      </w:r>
      <w:r>
        <w:rPr>
          <w:rFonts w:hint="eastAsia"/>
        </w:rPr>
        <w:t>日以内に、通商代表は、法第</w:t>
      </w:r>
      <w:r>
        <w:t>302</w:t>
      </w:r>
      <w:r>
        <w:rPr>
          <w:rFonts w:hint="eastAsia"/>
        </w:rPr>
        <w:t>条</w:t>
      </w:r>
      <w:r w:rsidR="003871A3">
        <w:rPr>
          <w:rFonts w:hint="eastAsia"/>
        </w:rPr>
        <w:t>⒝⑴</w:t>
      </w:r>
      <w:r>
        <w:rPr>
          <w:rFonts w:hint="eastAsia"/>
        </w:rPr>
        <w:t>に基づき、特定されたすべての外国の優先慣行に関して、法第３編第１章に基づく調査を開始しなければならない。</w:t>
      </w:r>
    </w:p>
    <w:p w:rsidR="00061C4C" w:rsidRDefault="00061C4C" w:rsidP="003871A3">
      <w:pPr>
        <w:pStyle w:val="OasysWin"/>
        <w:spacing w:line="240" w:lineRule="auto"/>
        <w:rPr>
          <w:spacing w:val="0"/>
        </w:rPr>
      </w:pPr>
    </w:p>
    <w:p w:rsidR="00061C4C" w:rsidRDefault="00061C4C" w:rsidP="003871A3">
      <w:pPr>
        <w:pStyle w:val="OasysWin"/>
        <w:spacing w:line="240" w:lineRule="auto"/>
        <w:rPr>
          <w:spacing w:val="0"/>
        </w:rPr>
      </w:pPr>
      <w:r>
        <w:rPr>
          <w:rFonts w:eastAsia=" ＭＳ ゴシック" w:cs=" ＭＳ ゴシック" w:hint="eastAsia"/>
        </w:rPr>
        <w:t>第３条　障壁除去のための協定</w:t>
      </w:r>
    </w:p>
    <w:p w:rsidR="00061C4C" w:rsidRDefault="00061C4C" w:rsidP="003871A3">
      <w:pPr>
        <w:pStyle w:val="OasysWin"/>
        <w:spacing w:line="240" w:lineRule="auto"/>
        <w:ind w:firstLineChars="100" w:firstLine="214"/>
        <w:rPr>
          <w:spacing w:val="0"/>
        </w:rPr>
      </w:pPr>
      <w:r>
        <w:rPr>
          <w:rFonts w:hint="eastAsia"/>
        </w:rPr>
        <w:t>この命令の第２条によって開始された調査に関連して、法第</w:t>
      </w:r>
      <w:r>
        <w:t>303</w:t>
      </w:r>
      <w:r>
        <w:rPr>
          <w:rFonts w:hint="eastAsia"/>
        </w:rPr>
        <w:t>条</w:t>
      </w:r>
      <w:r w:rsidR="003871A3">
        <w:rPr>
          <w:rFonts w:hint="eastAsia"/>
        </w:rPr>
        <w:t>⒜</w:t>
      </w:r>
      <w:r>
        <w:rPr>
          <w:rFonts w:hint="eastAsia"/>
        </w:rPr>
        <w:t>に基づいて、通商代表が要請するよう要求されている外国との協議において、通商代表は、調査の対象となっている慣行の除去を規定するか、または、それが実行困難であれば、補償的な貿易上の便益を規定する協定の交渉を直ちに求めなければならない。通商代表は、法第</w:t>
      </w:r>
      <w:r>
        <w:t>306</w:t>
      </w:r>
      <w:r>
        <w:rPr>
          <w:rFonts w:hint="eastAsia"/>
        </w:rPr>
        <w:t>条の規定に基づき、この条に基づいて締結された協定を監視しなければならない。</w:t>
      </w:r>
    </w:p>
    <w:p w:rsidR="00061C4C" w:rsidRDefault="00061C4C" w:rsidP="003871A3">
      <w:pPr>
        <w:pStyle w:val="OasysWin"/>
        <w:spacing w:line="240" w:lineRule="auto"/>
        <w:rPr>
          <w:spacing w:val="0"/>
        </w:rPr>
      </w:pPr>
    </w:p>
    <w:p w:rsidR="00061C4C" w:rsidRDefault="00061C4C" w:rsidP="003871A3">
      <w:pPr>
        <w:pStyle w:val="OasysWin"/>
        <w:spacing w:line="240" w:lineRule="auto"/>
        <w:rPr>
          <w:spacing w:val="0"/>
        </w:rPr>
      </w:pPr>
      <w:r>
        <w:rPr>
          <w:rFonts w:eastAsia=" ＭＳ ゴシック" w:cs=" ＭＳ ゴシック" w:hint="eastAsia"/>
        </w:rPr>
        <w:lastRenderedPageBreak/>
        <w:t>第４条　報告書</w:t>
      </w:r>
    </w:p>
    <w:p w:rsidR="00061C4C" w:rsidRDefault="00061C4C" w:rsidP="003871A3">
      <w:pPr>
        <w:pStyle w:val="OasysWin"/>
        <w:spacing w:line="240" w:lineRule="auto"/>
        <w:ind w:firstLineChars="100" w:firstLine="214"/>
        <w:rPr>
          <w:spacing w:val="0"/>
        </w:rPr>
      </w:pPr>
      <w:r>
        <w:rPr>
          <w:rFonts w:hint="eastAsia"/>
        </w:rPr>
        <w:t>通商代表は、</w:t>
      </w:r>
      <w:r w:rsidRPr="003871A3">
        <w:rPr>
          <w:rFonts w:hint="eastAsia"/>
          <w:spacing w:val="0"/>
        </w:rPr>
        <w:t>この</w:t>
      </w:r>
      <w:r>
        <w:rPr>
          <w:rFonts w:hint="eastAsia"/>
        </w:rPr>
        <w:t>命令の第２条に基づき開始された調査の状況及び適当と思われる場合には、当該調査が合衆国の財・サービスの輸出機会の増加に寄与した程度に関する報告書を、法第</w:t>
      </w:r>
      <w:r>
        <w:t>309</w:t>
      </w:r>
      <w:r>
        <w:rPr>
          <w:rFonts w:hint="eastAsia"/>
        </w:rPr>
        <w:t>条により要求される半年毎の報告書に含めなければならない。</w:t>
      </w:r>
    </w:p>
    <w:p w:rsidR="00061C4C" w:rsidRDefault="00061C4C" w:rsidP="003871A3">
      <w:pPr>
        <w:pStyle w:val="OasysWin"/>
        <w:spacing w:line="240" w:lineRule="auto"/>
        <w:rPr>
          <w:spacing w:val="0"/>
        </w:rPr>
      </w:pPr>
    </w:p>
    <w:p w:rsidR="00061C4C" w:rsidRDefault="00061C4C" w:rsidP="003871A3">
      <w:pPr>
        <w:pStyle w:val="OasysWin"/>
        <w:spacing w:line="240" w:lineRule="auto"/>
        <w:rPr>
          <w:spacing w:val="0"/>
        </w:rPr>
      </w:pPr>
      <w:r>
        <w:rPr>
          <w:rFonts w:eastAsia=" ＭＳ ゴシック" w:cs=" ＭＳ ゴシック" w:hint="eastAsia"/>
        </w:rPr>
        <w:t>第５条　大統領の指示</w:t>
      </w:r>
    </w:p>
    <w:p w:rsidR="00061C4C" w:rsidRDefault="00061C4C" w:rsidP="003871A3">
      <w:pPr>
        <w:pStyle w:val="OasysWin"/>
        <w:spacing w:line="240" w:lineRule="auto"/>
        <w:ind w:firstLineChars="100" w:firstLine="214"/>
        <w:rPr>
          <w:spacing w:val="0"/>
        </w:rPr>
      </w:pPr>
      <w:r>
        <w:rPr>
          <w:rFonts w:hint="eastAsia"/>
        </w:rPr>
        <w:t>この命令に基づいて付与された権限は、特定の事項における大統領の今後の指示に従わなければならない。</w:t>
      </w:r>
    </w:p>
    <w:p w:rsidR="00061C4C" w:rsidRDefault="00061C4C" w:rsidP="003871A3">
      <w:pPr>
        <w:pStyle w:val="OasysWin"/>
        <w:spacing w:line="240" w:lineRule="auto"/>
        <w:rPr>
          <w:spacing w:val="0"/>
        </w:rPr>
      </w:pPr>
    </w:p>
    <w:p w:rsidR="00061C4C" w:rsidRDefault="00061C4C" w:rsidP="003871A3">
      <w:pPr>
        <w:pStyle w:val="OasysWin"/>
        <w:spacing w:line="240" w:lineRule="auto"/>
        <w:rPr>
          <w:spacing w:val="0"/>
        </w:rPr>
      </w:pPr>
      <w:r>
        <w:rPr>
          <w:rFonts w:hint="eastAsia"/>
        </w:rPr>
        <w:t xml:space="preserve">　　　　　　　　　　　　　　　　　　　　　　　　　　ウィリアム・Ｊ・クリントン</w:t>
      </w:r>
    </w:p>
    <w:p w:rsidR="00061C4C" w:rsidRDefault="00061C4C" w:rsidP="003871A3">
      <w:pPr>
        <w:pStyle w:val="OasysWin"/>
        <w:spacing w:line="240" w:lineRule="auto"/>
        <w:rPr>
          <w:spacing w:val="0"/>
        </w:rPr>
      </w:pPr>
      <w:r>
        <w:rPr>
          <w:spacing w:val="0"/>
        </w:rPr>
        <w:br w:type="page"/>
      </w:r>
      <w:r>
        <w:rPr>
          <w:spacing w:val="-6"/>
        </w:rPr>
        <w:lastRenderedPageBreak/>
        <w:t xml:space="preserve">                                                                                </w:t>
      </w:r>
    </w:p>
    <w:sectPr w:rsidR="00061C4C" w:rsidSect="00061C4C">
      <w:pgSz w:w="11906" w:h="16838"/>
      <w:pgMar w:top="1417" w:right="1452" w:bottom="1021" w:left="181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96F" w:rsidRDefault="0059596F" w:rsidP="00936CBE">
      <w:r>
        <w:separator/>
      </w:r>
    </w:p>
  </w:endnote>
  <w:endnote w:type="continuationSeparator" w:id="0">
    <w:p w:rsidR="0059596F" w:rsidRDefault="0059596F" w:rsidP="0093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 ＭＳ 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96F" w:rsidRDefault="0059596F" w:rsidP="00936CBE">
      <w:r>
        <w:separator/>
      </w:r>
    </w:p>
  </w:footnote>
  <w:footnote w:type="continuationSeparator" w:id="0">
    <w:p w:rsidR="0059596F" w:rsidRDefault="0059596F" w:rsidP="00936CBE">
      <w:r>
        <w:continuationSeparator/>
      </w:r>
    </w:p>
  </w:footnote>
  <w:footnote w:id="1">
    <w:p w:rsidR="003871A3" w:rsidRDefault="003871A3">
      <w:pPr>
        <w:pStyle w:val="a7"/>
        <w:rPr>
          <w:rFonts w:hint="eastAsia"/>
        </w:rPr>
      </w:pPr>
      <w:r>
        <w:rPr>
          <w:rStyle w:val="a9"/>
        </w:rPr>
        <w:footnoteRef/>
      </w:r>
      <w:r w:rsidRPr="003871A3">
        <w:rPr>
          <w:rFonts w:hint="eastAsia"/>
        </w:rPr>
        <w:t>訳注：大統領行政命令第</w:t>
      </w:r>
      <w:r w:rsidRPr="003871A3">
        <w:rPr>
          <w:rFonts w:hint="eastAsia"/>
        </w:rPr>
        <w:t>12973</w:t>
      </w:r>
      <w:r w:rsidRPr="003871A3">
        <w:rPr>
          <w:rFonts w:hint="eastAsia"/>
        </w:rPr>
        <w:t>号により「</w:t>
      </w:r>
      <w:r w:rsidRPr="003871A3">
        <w:rPr>
          <w:rFonts w:hint="eastAsia"/>
        </w:rPr>
        <w:t>1994</w:t>
      </w:r>
      <w:r w:rsidRPr="003871A3">
        <w:rPr>
          <w:rFonts w:hint="eastAsia"/>
        </w:rPr>
        <w:t>年及び</w:t>
      </w:r>
      <w:r w:rsidRPr="003871A3">
        <w:rPr>
          <w:rFonts w:hint="eastAsia"/>
        </w:rPr>
        <w:t>1995</w:t>
      </w:r>
      <w:r w:rsidRPr="003871A3">
        <w:rPr>
          <w:rFonts w:hint="eastAsia"/>
        </w:rPr>
        <w:t>年」を、「</w:t>
      </w:r>
      <w:r w:rsidRPr="003871A3">
        <w:rPr>
          <w:rFonts w:hint="eastAsia"/>
        </w:rPr>
        <w:t>1996</w:t>
      </w:r>
      <w:r w:rsidRPr="003871A3">
        <w:rPr>
          <w:rFonts w:hint="eastAsia"/>
        </w:rPr>
        <w:t>年及び</w:t>
      </w:r>
      <w:r w:rsidRPr="003871A3">
        <w:rPr>
          <w:rFonts w:hint="eastAsia"/>
        </w:rPr>
        <w:t>1997</w:t>
      </w:r>
      <w:r w:rsidRPr="003871A3">
        <w:rPr>
          <w:rFonts w:hint="eastAsia"/>
        </w:rPr>
        <w:t>年」に改正。</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C4C"/>
    <w:rsid w:val="00061C4C"/>
    <w:rsid w:val="00222412"/>
    <w:rsid w:val="003871A3"/>
    <w:rsid w:val="0059596F"/>
    <w:rsid w:val="00936CBE"/>
    <w:rsid w:val="00AD3F0E"/>
    <w:rsid w:val="00B80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57" w:lineRule="exact"/>
      <w:jc w:val="both"/>
    </w:pPr>
    <w:rPr>
      <w:rFonts w:ascii=" ＭＳ 明朝" w:eastAsia=" ＭＳ 明朝" w:hAnsi=" Century" w:cs=" ＭＳ 明朝"/>
      <w:spacing w:val="-13"/>
      <w:sz w:val="24"/>
      <w:szCs w:val="24"/>
    </w:rPr>
  </w:style>
  <w:style w:type="paragraph" w:styleId="a3">
    <w:name w:val="header"/>
    <w:basedOn w:val="a"/>
    <w:link w:val="a4"/>
    <w:uiPriority w:val="99"/>
    <w:unhideWhenUsed/>
    <w:rsid w:val="00936CBE"/>
    <w:pPr>
      <w:tabs>
        <w:tab w:val="center" w:pos="4252"/>
        <w:tab w:val="right" w:pos="8504"/>
      </w:tabs>
      <w:snapToGrid w:val="0"/>
    </w:pPr>
  </w:style>
  <w:style w:type="character" w:customStyle="1" w:styleId="a4">
    <w:name w:val="ヘッダー (文字)"/>
    <w:basedOn w:val="a0"/>
    <w:link w:val="a3"/>
    <w:uiPriority w:val="99"/>
    <w:rsid w:val="00936CBE"/>
  </w:style>
  <w:style w:type="paragraph" w:styleId="a5">
    <w:name w:val="footer"/>
    <w:basedOn w:val="a"/>
    <w:link w:val="a6"/>
    <w:uiPriority w:val="99"/>
    <w:unhideWhenUsed/>
    <w:rsid w:val="00936CBE"/>
    <w:pPr>
      <w:tabs>
        <w:tab w:val="center" w:pos="4252"/>
        <w:tab w:val="right" w:pos="8504"/>
      </w:tabs>
      <w:snapToGrid w:val="0"/>
    </w:pPr>
  </w:style>
  <w:style w:type="character" w:customStyle="1" w:styleId="a6">
    <w:name w:val="フッター (文字)"/>
    <w:basedOn w:val="a0"/>
    <w:link w:val="a5"/>
    <w:uiPriority w:val="99"/>
    <w:rsid w:val="00936CBE"/>
  </w:style>
  <w:style w:type="paragraph" w:styleId="a7">
    <w:name w:val="footnote text"/>
    <w:basedOn w:val="a"/>
    <w:link w:val="a8"/>
    <w:uiPriority w:val="99"/>
    <w:semiHidden/>
    <w:unhideWhenUsed/>
    <w:rsid w:val="003871A3"/>
    <w:pPr>
      <w:snapToGrid w:val="0"/>
      <w:jc w:val="left"/>
    </w:pPr>
  </w:style>
  <w:style w:type="character" w:customStyle="1" w:styleId="a8">
    <w:name w:val="脚注文字列 (文字)"/>
    <w:link w:val="a7"/>
    <w:uiPriority w:val="99"/>
    <w:semiHidden/>
    <w:rsid w:val="003871A3"/>
    <w:rPr>
      <w:kern w:val="2"/>
      <w:sz w:val="21"/>
      <w:szCs w:val="22"/>
    </w:rPr>
  </w:style>
  <w:style w:type="character" w:styleId="a9">
    <w:name w:val="footnote reference"/>
    <w:uiPriority w:val="99"/>
    <w:semiHidden/>
    <w:unhideWhenUsed/>
    <w:rsid w:val="00387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122E9-FEE5-4BF4-9F10-27B94C6B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3</TotalTime>
  <Pages>3</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西日本鉄道株式会社</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tunehisa</dc:creator>
  <cp:lastModifiedBy>国際物流事業本部</cp:lastModifiedBy>
  <cp:revision>2</cp:revision>
  <dcterms:created xsi:type="dcterms:W3CDTF">2019-08-23T06:04:00Z</dcterms:created>
  <dcterms:modified xsi:type="dcterms:W3CDTF">2019-08-23T06:04:00Z</dcterms:modified>
</cp:coreProperties>
</file>